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165</w:t>
      </w:r>
    </w:p>
    <w:p>
      <w:r>
        <w:t>Bundesgericht (BGE), 1976-10-11, DE</w:t>
      </w:r>
    </w:p>
    <w:p>
      <w:r>
        <w:rPr>
          <w:b/>
        </w:rPr>
        <w:t xml:space="preserve">Quelle: </w:t>
      </w:r>
      <w:r>
        <w:t>https://mcp.opencaselaw.ch/entscheid/bge_102 V 165</w:t>
      </w:r>
    </w:p>
    <w:p>
      <w:r>
        <w:t>FR: ATF 102 V 165</w:t>
      </w:r>
    </w:p>
    <w:p>
      <w:r>
        <w:t>IT: DTF 102 V 165</w:t>
      </w:r>
    </w:p>
    <w:p>
      <w:pPr>
        <w:pStyle w:val="Heading2"/>
      </w:pPr>
      <w:r>
        <w:t>Regeste</w:t>
      </w:r>
    </w:p>
    <w:p>
      <w:r>
        <w:t>Regeste Art. 4 Abs. 1 IVG. Begriff der Invalidität, insbesondere des geistigen Gesundheitsschadens.</w:t>
      </w:r>
    </w:p>
    <w:p>
      <w:pPr>
        <w:pStyle w:val="Heading2"/>
      </w:pPr>
      <w:r>
        <w:t>Volltext</w:t>
      </w:r>
    </w:p>
    <w:p>
      <w:r>
        <w:t>Urteilskopf 102 V 165 39. Auszug aus dem Urteil vom 11. Oktober 1976 i.S. Fabbri gegen Ausgleichskasse der Schweizerischen Maschinen- und Metall-Industrie und Versicherungsgericht des Kantons Bern Regeste Art. 4 Abs. 1 IVG . Begriff der Invalidität, insbesondere des geistigen Gesundheitsschadens. Erwägungen ab Seite 166 BGE 102 V 165 S. 166 Aus den Erwägungen: Nach Art. 4 Abs. 1 IVG gilt als Invalidität die durch einen körperlichen oder geistigen Gesundheitsschaden als Folge von Geburtsgebrechen, Krankheit oder Unfall verursachte, voraussichtlich bleibende oder längere Zeit dauernde Erwerbsunfähigkeit. Gemäss dieser gesetzlichen Begriffsbestimmung ist Gegenstand der Versicherung nicht der körperliche oder geistige Gesundheitsschaden an sich, sondern seine wirtschaftliche Auswirkung, d.h. die voraussichtlich bleibende oder längere Zeit dauernde Erwerbsunfähigkeit. In diesem Sinne ist der - nach der Praxis für das ganze Sozialversicherungsrecht einheitliche (EVGE 1960 S. 251, 1967 S. 23; BGE 98 V 169 ) - Invaliditätsbegriff ein juristischer und kein medizinischer Begriff. Eine Erwerbsunfähigkeit ist längere Zeit dauernd, wenn der sie auslösende Gesundheitsschaden eine Arbeitsunfähigkeit von mindestens 360 Tagen bewirkt und nach dieser Zeit weiterhin eine die Erwerbsfähigkeit beeinträchtigende Behinderung zurücklässt. Gesundheitsschäden, welche nicht mindestens diese Auswirkungen haben (also auch nicht eine bleibende Erwerbsunfähigkeit bewirken), führen somit nicht zu einer Invalidität im Sinne von Art. 4 Abs. 1 IVG und gehören allenfalls in den Aufgabenbereich der Unfall- oder Krankenversicherung oder aber in den Rahmen des Risikos, dessen Tragung dem einzelnen zugemutet wird (in ZAK 1973 S. 648 veröffentlichte Erw. 2a des Urteils Sch. vom 21. März 1973 = BGE 99 V 28 ; vgl. auch ZAK 1973 S. 294 sowie das nicht veröffentlichte Urteil Bötschi vom 19. November 1975).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als IV-rechtlich nicht relevant gelten Beeinträchtigungen der Erwerbsfähigkeit, welche der Versicherte bei Aufbietung allen guten Willens, BGE 102 V 165 S. 167 Arbeit in ausreichendem Masse zu verrichten, zu vermeiden vermöchte, wobei namentlich bei Psychopathen das Mass des Erforderlichen weitgehend objektiv bestimmt werden muss.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sei, die Verwertung der Arbeitsfähigkeit sei ihm sozial-praktisch nicht mehr zumutbar oder - als alternative Voraussetzung - sogar für die Gesellschaft untragbar. Diese Grundsätze gelten nach der Rechtsprechung für Psychopathien (EVGE 1961 S. 164 Erw. 3, 1963 S. 36 Erw. 3), psychische Fehlentwicklungen (EVGE 1961 S. 326 Erw. 3), Trunksucht (EVGE 1968 S. 278 Erw. 3a), suchtbedingten Missbrauch von Medikamenten (ZAK 1964 S. 122 Erw. 3), Rauschgiftsucht ( BGE 99 V 28 Erw. 2) und für Neurosen (EVGE 1962 S. 34 Erw. 2, 1964 S. 157 Erw. 3 und 4). Hinsichtlich der Neurosen ist zu beachten, dass deren Auswirkungen unter Umständen dadurch behoben werden können, dass die Versicherungsleistungen abgelehnt oder - wo gesetzlich vorgesehen - durch eine Abfindung abgegolten werden, was zur Lösung der neurotischen Fixierung führt. Ist deshalb von der Verweigerung einer Invalidenrente wahrscheinlich zu erwarten, dass der Versicherte von den Folgen der Neurose befreit und wieder arbeitsfähig werde, so ist keine bleibende oder längere Zeit dauernde Erwerbsunfähigkeit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